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3AF" w14:textId="70BC0BB4" w:rsidR="00752263" w:rsidRPr="00936C1F" w:rsidRDefault="00972ED8" w:rsidP="00972ED8">
      <w:pPr>
        <w:jc w:val="center"/>
        <w:rPr>
          <w:b/>
          <w:sz w:val="36"/>
          <w:szCs w:val="32"/>
        </w:rPr>
      </w:pPr>
      <w:r w:rsidRPr="00936C1F">
        <w:rPr>
          <w:b/>
          <w:sz w:val="36"/>
          <w:szCs w:val="32"/>
        </w:rPr>
        <w:t xml:space="preserve">ETM 520 </w:t>
      </w:r>
    </w:p>
    <w:p w14:paraId="7919F345" w14:textId="6E2BBDA9" w:rsidR="00936C1F" w:rsidRPr="00936C1F" w:rsidRDefault="00936C1F" w:rsidP="00972ED8">
      <w:pPr>
        <w:jc w:val="center"/>
        <w:rPr>
          <w:b/>
          <w:sz w:val="36"/>
          <w:szCs w:val="32"/>
        </w:rPr>
      </w:pPr>
      <w:r w:rsidRPr="00936C1F">
        <w:rPr>
          <w:b/>
          <w:sz w:val="36"/>
          <w:szCs w:val="32"/>
        </w:rPr>
        <w:t>Spring 2021-2022</w:t>
      </w:r>
    </w:p>
    <w:p w14:paraId="68E49E74" w14:textId="77777777" w:rsidR="00752263" w:rsidRPr="00936C1F" w:rsidRDefault="00752263" w:rsidP="00752263">
      <w:pPr>
        <w:rPr>
          <w:b/>
          <w:sz w:val="36"/>
          <w:szCs w:val="32"/>
        </w:rPr>
      </w:pPr>
    </w:p>
    <w:p w14:paraId="259FA7FA" w14:textId="50FA9853" w:rsidR="00972ED8" w:rsidRPr="00936C1F" w:rsidRDefault="00936C1F" w:rsidP="00972ED8">
      <w:pPr>
        <w:jc w:val="center"/>
        <w:rPr>
          <w:b/>
          <w:sz w:val="32"/>
          <w:szCs w:val="28"/>
        </w:rPr>
      </w:pPr>
      <w:r w:rsidRPr="00936C1F">
        <w:rPr>
          <w:b/>
          <w:sz w:val="32"/>
          <w:szCs w:val="28"/>
        </w:rPr>
        <w:t>SYLLABUS</w:t>
      </w:r>
    </w:p>
    <w:p w14:paraId="78FBE182" w14:textId="77777777" w:rsidR="00972ED8" w:rsidRDefault="00972ED8" w:rsidP="00972ED8"/>
    <w:p w14:paraId="72072133" w14:textId="77777777" w:rsidR="00752263" w:rsidRDefault="00752263" w:rsidP="00972ED8"/>
    <w:p w14:paraId="16918DCD" w14:textId="0AB87974" w:rsidR="00844942" w:rsidRPr="00936C1F" w:rsidRDefault="00936C1F" w:rsidP="00972ED8">
      <w:pPr>
        <w:rPr>
          <w:b/>
          <w:bCs/>
        </w:rPr>
      </w:pPr>
      <w:r w:rsidRPr="00936C1F">
        <w:rPr>
          <w:b/>
          <w:bCs/>
        </w:rPr>
        <w:t>COURSE OUTLINE</w:t>
      </w:r>
    </w:p>
    <w:p w14:paraId="62180C43" w14:textId="77777777" w:rsidR="00936C1F" w:rsidRDefault="00936C1F" w:rsidP="00972ED8"/>
    <w:p w14:paraId="68F9B714" w14:textId="77777777" w:rsidR="00972ED8" w:rsidRDefault="00972ED8" w:rsidP="00972ED8">
      <w:pPr>
        <w:rPr>
          <w:b/>
        </w:rPr>
      </w:pPr>
      <w:r w:rsidRPr="00752263">
        <w:rPr>
          <w:b/>
        </w:rPr>
        <w:t>LESSON 1 –</w:t>
      </w:r>
      <w:r w:rsidR="00844942">
        <w:rPr>
          <w:b/>
        </w:rPr>
        <w:t xml:space="preserve"> 14 </w:t>
      </w:r>
      <w:r w:rsidR="00D940F2">
        <w:rPr>
          <w:b/>
        </w:rPr>
        <w:t>May</w:t>
      </w:r>
      <w:r w:rsidR="00844942">
        <w:rPr>
          <w:b/>
        </w:rPr>
        <w:t xml:space="preserve"> 2022 </w:t>
      </w:r>
    </w:p>
    <w:p w14:paraId="4EF170A7" w14:textId="77777777" w:rsidR="00844942" w:rsidRPr="00752263" w:rsidRDefault="00844942" w:rsidP="00972ED8">
      <w:pPr>
        <w:rPr>
          <w:b/>
        </w:rPr>
      </w:pPr>
      <w:r>
        <w:rPr>
          <w:b/>
        </w:rPr>
        <w:t xml:space="preserve">09:00-11:45 </w:t>
      </w:r>
    </w:p>
    <w:p w14:paraId="1F7B9036" w14:textId="77777777" w:rsidR="00737203" w:rsidRDefault="00737203" w:rsidP="00972ED8"/>
    <w:p w14:paraId="62581D6A" w14:textId="77777777" w:rsidR="00844942" w:rsidRDefault="00844942" w:rsidP="00382359">
      <w:pPr>
        <w:pStyle w:val="ListParagraph"/>
        <w:numPr>
          <w:ilvl w:val="0"/>
          <w:numId w:val="36"/>
        </w:numPr>
      </w:pPr>
      <w:r>
        <w:t xml:space="preserve">Understanding the Concept of “Energy Balances” </w:t>
      </w:r>
    </w:p>
    <w:p w14:paraId="696D5561" w14:textId="77777777" w:rsidR="00844942" w:rsidRDefault="00844942" w:rsidP="00844942">
      <w:pPr>
        <w:pStyle w:val="ListParagraph"/>
      </w:pPr>
      <w:r>
        <w:t xml:space="preserve"> </w:t>
      </w:r>
    </w:p>
    <w:p w14:paraId="22715D55" w14:textId="77777777" w:rsidR="002F4AFF" w:rsidRDefault="002F4AFF" w:rsidP="00382359">
      <w:pPr>
        <w:pStyle w:val="ListParagraph"/>
        <w:numPr>
          <w:ilvl w:val="0"/>
          <w:numId w:val="36"/>
        </w:numPr>
      </w:pPr>
      <w:r>
        <w:t xml:space="preserve">Turkey Energy Sector : Major Characteristics </w:t>
      </w:r>
    </w:p>
    <w:p w14:paraId="7216395A" w14:textId="77777777" w:rsidR="002F4AFF" w:rsidRDefault="002F4AFF" w:rsidP="002F4AFF">
      <w:pPr>
        <w:pStyle w:val="ListParagraph"/>
      </w:pPr>
    </w:p>
    <w:p w14:paraId="59A329BB" w14:textId="77777777" w:rsidR="003A79C0" w:rsidRDefault="006C372B" w:rsidP="00382359">
      <w:pPr>
        <w:pStyle w:val="ListParagraph"/>
        <w:numPr>
          <w:ilvl w:val="0"/>
          <w:numId w:val="36"/>
        </w:numPr>
      </w:pPr>
      <w:r>
        <w:t>“Turkey Energy Outlook”</w:t>
      </w:r>
      <w:r w:rsidR="00D60C71">
        <w:t xml:space="preserve"> </w:t>
      </w:r>
      <w:r w:rsidR="00891ECD">
        <w:t>Hig</w:t>
      </w:r>
      <w:r w:rsidR="003A79C0">
        <w:t xml:space="preserve">hlights  </w:t>
      </w:r>
    </w:p>
    <w:p w14:paraId="6384C479" w14:textId="77777777" w:rsidR="003A79C0" w:rsidRDefault="003A79C0" w:rsidP="003A79C0"/>
    <w:p w14:paraId="7772321E" w14:textId="77777777" w:rsidR="00972ED8" w:rsidRDefault="003A79C0" w:rsidP="00382359">
      <w:pPr>
        <w:pStyle w:val="ListParagraph"/>
        <w:numPr>
          <w:ilvl w:val="0"/>
          <w:numId w:val="36"/>
        </w:numPr>
      </w:pPr>
      <w:r>
        <w:t xml:space="preserve">TEO: </w:t>
      </w:r>
      <w:r w:rsidR="00125CF1">
        <w:t>Power, Natural Gas</w:t>
      </w:r>
      <w:r w:rsidR="00382359">
        <w:t xml:space="preserve"> and Oil/Transport </w:t>
      </w:r>
      <w:r w:rsidR="00125CF1">
        <w:t xml:space="preserve">Focus </w:t>
      </w:r>
    </w:p>
    <w:p w14:paraId="72F992C5" w14:textId="77777777" w:rsidR="001F19F9" w:rsidRDefault="001F19F9" w:rsidP="001F19F9">
      <w:pPr>
        <w:pStyle w:val="ListParagraph"/>
      </w:pPr>
    </w:p>
    <w:p w14:paraId="6B8082BB" w14:textId="77777777" w:rsidR="001F19F9" w:rsidRDefault="001F19F9" w:rsidP="00382359">
      <w:pPr>
        <w:pStyle w:val="ListParagraph"/>
        <w:numPr>
          <w:ilvl w:val="0"/>
          <w:numId w:val="36"/>
        </w:numPr>
      </w:pPr>
      <w:r>
        <w:t>TEVO: Power, Transport and E-mobility Focus</w:t>
      </w:r>
    </w:p>
    <w:p w14:paraId="3C2420D1" w14:textId="77777777" w:rsidR="00D60C71" w:rsidRDefault="00D60C71" w:rsidP="00972ED8"/>
    <w:p w14:paraId="510BC685" w14:textId="77777777" w:rsidR="00D60C71" w:rsidRDefault="00D60C71" w:rsidP="00382359">
      <w:pPr>
        <w:pStyle w:val="ListParagraph"/>
        <w:numPr>
          <w:ilvl w:val="0"/>
          <w:numId w:val="36"/>
        </w:numPr>
      </w:pPr>
      <w:r>
        <w:t xml:space="preserve">Discussion around TEO Recommendations </w:t>
      </w:r>
      <w:r w:rsidR="008244A6">
        <w:t xml:space="preserve"> </w:t>
      </w:r>
    </w:p>
    <w:p w14:paraId="4BCBB8ED" w14:textId="77777777" w:rsidR="00D60C71" w:rsidRDefault="00D60C71" w:rsidP="00D60C71"/>
    <w:p w14:paraId="6182496B" w14:textId="77777777" w:rsidR="001F19F9" w:rsidRDefault="00D60C71" w:rsidP="00D60C71">
      <w:r>
        <w:t>reading material</w:t>
      </w:r>
      <w:r w:rsidR="001F19F9">
        <w:t>s</w:t>
      </w:r>
      <w:r>
        <w:t xml:space="preserve">: </w:t>
      </w:r>
    </w:p>
    <w:p w14:paraId="5E47683C" w14:textId="77777777" w:rsidR="001F19F9" w:rsidRDefault="001F19F9" w:rsidP="00D60C71"/>
    <w:p w14:paraId="7476A1E2" w14:textId="77777777" w:rsidR="001F19F9" w:rsidRDefault="001F19F9" w:rsidP="00D60C71">
      <w:r w:rsidRPr="001F19F9">
        <w:t xml:space="preserve">“Understanding and </w:t>
      </w:r>
      <w:r>
        <w:t>U</w:t>
      </w:r>
      <w:r w:rsidRPr="001F19F9">
        <w:t>sing the Energy Balance”</w:t>
      </w:r>
    </w:p>
    <w:p w14:paraId="062D3E03" w14:textId="77777777" w:rsidR="001F19F9" w:rsidRDefault="001F19F9" w:rsidP="00D60C71"/>
    <w:p w14:paraId="10B0A394" w14:textId="77777777" w:rsidR="001F19F9" w:rsidRDefault="00936C1F" w:rsidP="00D60C71">
      <w:hyperlink r:id="rId5" w:history="1">
        <w:r w:rsidR="001F19F9" w:rsidRPr="00EE321A">
          <w:rPr>
            <w:rStyle w:val="Hyperlink"/>
          </w:rPr>
          <w:t>https://www.iea.org/commentaries/understanding-and-using-the-energy-balance</w:t>
        </w:r>
      </w:hyperlink>
      <w:r w:rsidR="001F19F9">
        <w:t xml:space="preserve"> </w:t>
      </w:r>
    </w:p>
    <w:p w14:paraId="638017DD" w14:textId="77777777" w:rsidR="000958EA" w:rsidRDefault="000958EA" w:rsidP="00D60C71"/>
    <w:p w14:paraId="442074D8" w14:textId="77777777" w:rsidR="00585489" w:rsidRDefault="00585489" w:rsidP="00D60C71">
      <w:r>
        <w:t xml:space="preserve">World Energy Balances </w:t>
      </w:r>
    </w:p>
    <w:p w14:paraId="2C2F4A1A" w14:textId="77777777" w:rsidR="00585489" w:rsidRDefault="00585489" w:rsidP="00D60C71"/>
    <w:p w14:paraId="2D3A93CC" w14:textId="77777777" w:rsidR="000958EA" w:rsidRDefault="00936C1F" w:rsidP="00D60C71">
      <w:hyperlink r:id="rId6" w:history="1">
        <w:r w:rsidR="000958EA" w:rsidRPr="00EE321A">
          <w:rPr>
            <w:rStyle w:val="Hyperlink"/>
          </w:rPr>
          <w:t>https://www.iea.org/data-and-statistics/data-tables/?country=WORLD&amp;energy=Balances</w:t>
        </w:r>
      </w:hyperlink>
      <w:r w:rsidR="000958EA">
        <w:t xml:space="preserve"> </w:t>
      </w:r>
    </w:p>
    <w:p w14:paraId="3B44D678" w14:textId="77777777" w:rsidR="001F19F9" w:rsidRDefault="001F19F9" w:rsidP="00D60C71"/>
    <w:p w14:paraId="5AE49FDF" w14:textId="77777777" w:rsidR="00584D65" w:rsidRDefault="00D60C71" w:rsidP="00D60C71">
      <w:r>
        <w:t>IICEC Turkey Energy Outlook Executive Summary</w:t>
      </w:r>
    </w:p>
    <w:p w14:paraId="0FD60588" w14:textId="77777777" w:rsidR="003A79C0" w:rsidRDefault="003A79C0" w:rsidP="00D60C71"/>
    <w:p w14:paraId="209EEBE1" w14:textId="77777777" w:rsidR="003A79C0" w:rsidRDefault="00936C1F" w:rsidP="00D60C71">
      <w:hyperlink r:id="rId7" w:history="1">
        <w:r w:rsidR="003A79C0" w:rsidRPr="001775F2">
          <w:rPr>
            <w:rStyle w:val="Hyperlink"/>
          </w:rPr>
          <w:t>https://iicec.sabanciuniv.edu/sites/iicec.sabanciuniv.edu/files/inline-files/4-teo_executive_summary-unprotected_v.pdf</w:t>
        </w:r>
      </w:hyperlink>
      <w:r w:rsidR="003A79C0">
        <w:t xml:space="preserve"> </w:t>
      </w:r>
    </w:p>
    <w:p w14:paraId="0BCBD66E" w14:textId="77777777" w:rsidR="001F19F9" w:rsidRDefault="001F19F9" w:rsidP="00D60C71"/>
    <w:p w14:paraId="25EDFC93" w14:textId="77777777" w:rsidR="00972ED8" w:rsidRDefault="00972ED8" w:rsidP="00972ED8"/>
    <w:p w14:paraId="35FF593D" w14:textId="77777777" w:rsidR="00737203" w:rsidRDefault="00972ED8" w:rsidP="00972ED8">
      <w:pPr>
        <w:rPr>
          <w:b/>
        </w:rPr>
      </w:pPr>
      <w:r w:rsidRPr="00752263">
        <w:rPr>
          <w:b/>
        </w:rPr>
        <w:t xml:space="preserve">LESSON 2 </w:t>
      </w:r>
      <w:r w:rsidR="002F4AFF">
        <w:rPr>
          <w:b/>
        </w:rPr>
        <w:t xml:space="preserve">– </w:t>
      </w:r>
      <w:r w:rsidR="00D940F2">
        <w:rPr>
          <w:b/>
        </w:rPr>
        <w:t xml:space="preserve">16 May 2022 </w:t>
      </w:r>
    </w:p>
    <w:p w14:paraId="200F37BA" w14:textId="77777777" w:rsidR="00D940F2" w:rsidRDefault="00D940F2" w:rsidP="00972ED8">
      <w:pPr>
        <w:rPr>
          <w:b/>
        </w:rPr>
      </w:pPr>
      <w:r>
        <w:rPr>
          <w:b/>
        </w:rPr>
        <w:t xml:space="preserve">19:00-21:45 </w:t>
      </w:r>
    </w:p>
    <w:p w14:paraId="02D9A7C0" w14:textId="77777777" w:rsidR="002F4AFF" w:rsidRDefault="002F4AFF" w:rsidP="00972ED8"/>
    <w:p w14:paraId="730527AB" w14:textId="77777777" w:rsidR="00023015" w:rsidRDefault="003A79C0" w:rsidP="00023015">
      <w:pPr>
        <w:pStyle w:val="ListParagraph"/>
        <w:numPr>
          <w:ilvl w:val="0"/>
          <w:numId w:val="37"/>
        </w:numPr>
      </w:pPr>
      <w:r>
        <w:t xml:space="preserve">TEO: </w:t>
      </w:r>
      <w:r w:rsidR="00382359">
        <w:t xml:space="preserve">Energy Efficiency, Fuel Shifts and </w:t>
      </w:r>
      <w:r w:rsidR="00D60C71">
        <w:t>Energy Technolog</w:t>
      </w:r>
      <w:r w:rsidR="008244A6">
        <w:t>ies</w:t>
      </w:r>
      <w:r w:rsidR="00D60C71">
        <w:t xml:space="preserve"> focus </w:t>
      </w:r>
    </w:p>
    <w:p w14:paraId="27CFD0CC" w14:textId="77777777" w:rsidR="00023015" w:rsidRDefault="00023015" w:rsidP="00023015"/>
    <w:p w14:paraId="6A89EE76" w14:textId="77777777" w:rsidR="00023015" w:rsidRDefault="00023015" w:rsidP="00023015">
      <w:pPr>
        <w:pStyle w:val="ListParagraph"/>
        <w:numPr>
          <w:ilvl w:val="0"/>
          <w:numId w:val="37"/>
        </w:numPr>
      </w:pPr>
      <w:r>
        <w:t xml:space="preserve">Fuel shifts from Fossil Fuels to Electrification and Direct use of Renewable Energy </w:t>
      </w:r>
    </w:p>
    <w:p w14:paraId="488E023A" w14:textId="77777777" w:rsidR="003A79C0" w:rsidRDefault="003A79C0" w:rsidP="00972ED8"/>
    <w:p w14:paraId="0AF8515A" w14:textId="77777777" w:rsidR="003A79C0" w:rsidRDefault="003A79C0" w:rsidP="00382359">
      <w:pPr>
        <w:pStyle w:val="ListParagraph"/>
        <w:numPr>
          <w:ilvl w:val="0"/>
          <w:numId w:val="37"/>
        </w:numPr>
      </w:pPr>
      <w:r>
        <w:lastRenderedPageBreak/>
        <w:t xml:space="preserve">Discussion around TEO Recommendations </w:t>
      </w:r>
    </w:p>
    <w:p w14:paraId="73559AD8" w14:textId="77777777" w:rsidR="003A79C0" w:rsidRDefault="003A79C0" w:rsidP="003A79C0"/>
    <w:p w14:paraId="362256AB" w14:textId="77777777" w:rsidR="00382359" w:rsidRDefault="00382359" w:rsidP="00382359">
      <w:r>
        <w:t>reading material: IICEC Turkey Energy Outlook Executive Summary</w:t>
      </w:r>
      <w:r w:rsidR="001F19F9">
        <w:t xml:space="preserve"> </w:t>
      </w:r>
    </w:p>
    <w:p w14:paraId="5E639DE2" w14:textId="77777777" w:rsidR="00382359" w:rsidRDefault="00382359" w:rsidP="00382359"/>
    <w:p w14:paraId="2EACD70C" w14:textId="77777777" w:rsidR="00382359" w:rsidRDefault="00936C1F" w:rsidP="00382359">
      <w:hyperlink r:id="rId8" w:history="1">
        <w:r w:rsidR="00382359" w:rsidRPr="001775F2">
          <w:rPr>
            <w:rStyle w:val="Hyperlink"/>
          </w:rPr>
          <w:t>https://iicec.sabanciuniv.edu/sites/iicec.sabanciuniv.edu/files/inline-files/4-teo_executive_summary-unprotected_v.pdf</w:t>
        </w:r>
      </w:hyperlink>
      <w:r w:rsidR="00382359">
        <w:t xml:space="preserve"> </w:t>
      </w:r>
    </w:p>
    <w:p w14:paraId="37C2A913" w14:textId="77777777" w:rsidR="00382359" w:rsidRDefault="00382359" w:rsidP="00D60C71"/>
    <w:p w14:paraId="41DCFCD8" w14:textId="77777777" w:rsidR="00972ED8" w:rsidRDefault="00972ED8" w:rsidP="00972ED8"/>
    <w:p w14:paraId="55DCB41F" w14:textId="77777777" w:rsidR="00972ED8" w:rsidRDefault="00972ED8" w:rsidP="00972ED8">
      <w:pPr>
        <w:rPr>
          <w:b/>
        </w:rPr>
      </w:pPr>
      <w:r w:rsidRPr="00752263">
        <w:rPr>
          <w:b/>
        </w:rPr>
        <w:t xml:space="preserve">LESSON 3 </w:t>
      </w:r>
      <w:r w:rsidR="00D940F2">
        <w:rPr>
          <w:b/>
        </w:rPr>
        <w:t xml:space="preserve">– 27 May 2022 </w:t>
      </w:r>
    </w:p>
    <w:p w14:paraId="0EF6F84F" w14:textId="77777777" w:rsidR="00D940F2" w:rsidRDefault="00D940F2" w:rsidP="00972ED8">
      <w:pPr>
        <w:rPr>
          <w:b/>
        </w:rPr>
      </w:pPr>
      <w:r>
        <w:rPr>
          <w:b/>
        </w:rPr>
        <w:t xml:space="preserve">19:00-21:45 </w:t>
      </w:r>
    </w:p>
    <w:p w14:paraId="33A0A985" w14:textId="77777777" w:rsidR="00D940F2" w:rsidRPr="00752263" w:rsidRDefault="00D940F2" w:rsidP="00972ED8">
      <w:pPr>
        <w:rPr>
          <w:b/>
        </w:rPr>
      </w:pPr>
    </w:p>
    <w:p w14:paraId="35941D59" w14:textId="77777777" w:rsidR="00382359" w:rsidRDefault="00382359" w:rsidP="00382359"/>
    <w:p w14:paraId="0E36A47F" w14:textId="77777777" w:rsidR="008244A6" w:rsidRDefault="008244A6" w:rsidP="00382359">
      <w:pPr>
        <w:pStyle w:val="ListParagraph"/>
        <w:numPr>
          <w:ilvl w:val="0"/>
          <w:numId w:val="38"/>
        </w:numPr>
      </w:pPr>
      <w:r>
        <w:t xml:space="preserve">Strategic Orientations Towards a More Secure and Clean Energy Future   </w:t>
      </w:r>
    </w:p>
    <w:p w14:paraId="61514259" w14:textId="77777777" w:rsidR="00382359" w:rsidRDefault="00382359" w:rsidP="003A79C0"/>
    <w:p w14:paraId="056B429A" w14:textId="77777777" w:rsidR="00D940F2" w:rsidRDefault="00D940F2" w:rsidP="00D703F3">
      <w:pPr>
        <w:pStyle w:val="ListParagraph"/>
        <w:numPr>
          <w:ilvl w:val="0"/>
          <w:numId w:val="38"/>
        </w:numPr>
      </w:pPr>
      <w:r>
        <w:t xml:space="preserve">Twin Objectives: </w:t>
      </w:r>
      <w:r w:rsidR="00382359">
        <w:t xml:space="preserve">Energy Security </w:t>
      </w:r>
      <w:r w:rsidR="0062623C">
        <w:t xml:space="preserve">&amp; </w:t>
      </w:r>
      <w:r w:rsidR="00382359">
        <w:t>Clean Energy</w:t>
      </w:r>
      <w:r w:rsidR="0062623C">
        <w:t xml:space="preserve"> Growth </w:t>
      </w:r>
    </w:p>
    <w:p w14:paraId="7EE6C17E" w14:textId="77777777" w:rsidR="00D940F2" w:rsidRDefault="00D940F2" w:rsidP="00D940F2">
      <w:pPr>
        <w:pStyle w:val="ListParagraph"/>
      </w:pPr>
    </w:p>
    <w:p w14:paraId="7599FDC6" w14:textId="77777777" w:rsidR="00D940F2" w:rsidRDefault="00D940F2" w:rsidP="00D703F3">
      <w:pPr>
        <w:pStyle w:val="ListParagraph"/>
        <w:numPr>
          <w:ilvl w:val="0"/>
          <w:numId w:val="38"/>
        </w:numPr>
      </w:pPr>
      <w:r>
        <w:t xml:space="preserve">Renewable Energy Growth for Serving to Twin Objectives : Trends, Drivers and Expectations  </w:t>
      </w:r>
    </w:p>
    <w:p w14:paraId="2FA990A3" w14:textId="77777777" w:rsidR="00D940F2" w:rsidRDefault="00D940F2" w:rsidP="00D940F2">
      <w:pPr>
        <w:pStyle w:val="ListParagraph"/>
      </w:pPr>
    </w:p>
    <w:p w14:paraId="171E92DC" w14:textId="77777777" w:rsidR="001F19F9" w:rsidRDefault="00D940F2" w:rsidP="00D940F2">
      <w:r>
        <w:t>reading material</w:t>
      </w:r>
      <w:r w:rsidR="001F19F9">
        <w:t>s</w:t>
      </w:r>
      <w:r>
        <w:t xml:space="preserve">: </w:t>
      </w:r>
    </w:p>
    <w:p w14:paraId="0AF4CD01" w14:textId="77777777" w:rsidR="001F19F9" w:rsidRDefault="001F19F9" w:rsidP="00D940F2"/>
    <w:p w14:paraId="6C6952FD" w14:textId="77777777" w:rsidR="001F19F9" w:rsidRDefault="001F19F9" w:rsidP="00D940F2">
      <w:r>
        <w:t xml:space="preserve">IEA Net Zero by 2050 Launch Presentation </w:t>
      </w:r>
    </w:p>
    <w:p w14:paraId="1FA19385" w14:textId="77777777" w:rsidR="001F19F9" w:rsidRDefault="001F19F9" w:rsidP="00D940F2"/>
    <w:p w14:paraId="14A52677" w14:textId="77777777" w:rsidR="001F19F9" w:rsidRDefault="00936C1F" w:rsidP="00D940F2">
      <w:hyperlink r:id="rId9" w:history="1">
        <w:r w:rsidR="001F19F9" w:rsidRPr="00EE321A">
          <w:rPr>
            <w:rStyle w:val="Hyperlink"/>
          </w:rPr>
          <w:t>https://iea.blob.core.windows.net/assets/84c1a929-670a-4321-b7fd-a681f60ebe8e/NZE2050_launch_slides.pdf</w:t>
        </w:r>
      </w:hyperlink>
      <w:r w:rsidR="001F19F9">
        <w:t xml:space="preserve"> </w:t>
      </w:r>
    </w:p>
    <w:p w14:paraId="1EC17235" w14:textId="77777777" w:rsidR="001F19F9" w:rsidRDefault="001F19F9" w:rsidP="00D940F2"/>
    <w:p w14:paraId="7E471FF6" w14:textId="77777777" w:rsidR="001F19F9" w:rsidRDefault="00D940F2" w:rsidP="00D940F2">
      <w:r>
        <w:t xml:space="preserve">IEA Renewable Energy Market Update </w:t>
      </w:r>
      <w:r w:rsidR="00382359">
        <w:t xml:space="preserve"> </w:t>
      </w:r>
      <w:r>
        <w:t>-May 2022</w:t>
      </w:r>
      <w:r w:rsidR="001F19F9">
        <w:t xml:space="preserve"> Report </w:t>
      </w:r>
      <w:r>
        <w:t xml:space="preserve"> </w:t>
      </w:r>
    </w:p>
    <w:p w14:paraId="09A20FDD" w14:textId="77777777" w:rsidR="001F19F9" w:rsidRDefault="001F19F9" w:rsidP="00D940F2"/>
    <w:p w14:paraId="29474F8D" w14:textId="77777777" w:rsidR="00D940F2" w:rsidRDefault="00936C1F" w:rsidP="00D940F2">
      <w:hyperlink r:id="rId10" w:history="1">
        <w:r w:rsidR="001F19F9" w:rsidRPr="00EE321A">
          <w:rPr>
            <w:rStyle w:val="Hyperlink"/>
          </w:rPr>
          <w:t>https://www.iea.org/reports/renewable-energy-market-update-may-2022</w:t>
        </w:r>
      </w:hyperlink>
      <w:r w:rsidR="00D940F2">
        <w:t xml:space="preserve"> </w:t>
      </w:r>
    </w:p>
    <w:p w14:paraId="2FC3ABE4" w14:textId="77777777" w:rsidR="003A79C0" w:rsidRDefault="003A79C0" w:rsidP="003A79C0"/>
    <w:p w14:paraId="00A6113D" w14:textId="77777777" w:rsidR="008244A6" w:rsidRDefault="008244A6" w:rsidP="003A79C0"/>
    <w:p w14:paraId="7DF0089B" w14:textId="77777777" w:rsidR="00737203" w:rsidRDefault="00972ED8" w:rsidP="00972ED8">
      <w:pPr>
        <w:rPr>
          <w:b/>
        </w:rPr>
      </w:pPr>
      <w:r w:rsidRPr="00752263">
        <w:rPr>
          <w:b/>
        </w:rPr>
        <w:t xml:space="preserve">LESSON 4 </w:t>
      </w:r>
      <w:r w:rsidR="002F4AFF">
        <w:rPr>
          <w:b/>
        </w:rPr>
        <w:t xml:space="preserve"> </w:t>
      </w:r>
      <w:r w:rsidR="00D940F2">
        <w:rPr>
          <w:b/>
        </w:rPr>
        <w:t xml:space="preserve">- 3 June 2022 </w:t>
      </w:r>
    </w:p>
    <w:p w14:paraId="7C870C08" w14:textId="77777777" w:rsidR="00D940F2" w:rsidRDefault="00D940F2" w:rsidP="00972ED8">
      <w:pPr>
        <w:rPr>
          <w:b/>
        </w:rPr>
      </w:pPr>
      <w:r>
        <w:rPr>
          <w:b/>
        </w:rPr>
        <w:t xml:space="preserve">19:00-21:45 </w:t>
      </w:r>
    </w:p>
    <w:p w14:paraId="63E57FAC" w14:textId="77777777" w:rsidR="002F4AFF" w:rsidRPr="00752263" w:rsidRDefault="002F4AFF" w:rsidP="00972ED8">
      <w:pPr>
        <w:rPr>
          <w:b/>
        </w:rPr>
      </w:pPr>
    </w:p>
    <w:p w14:paraId="765FD18F" w14:textId="77777777" w:rsidR="00737203" w:rsidRDefault="00972ED8" w:rsidP="00737203">
      <w:r>
        <w:t xml:space="preserve">-          </w:t>
      </w:r>
      <w:r w:rsidR="00737203">
        <w:t>Introduction to Competitive Strategy and Strategic Analysis</w:t>
      </w:r>
    </w:p>
    <w:p w14:paraId="54F74040" w14:textId="77777777" w:rsidR="00737203" w:rsidRDefault="00737203" w:rsidP="00737203"/>
    <w:p w14:paraId="2C68C745" w14:textId="77777777" w:rsidR="00737203" w:rsidRDefault="00737203" w:rsidP="00737203">
      <w:r>
        <w:t>-          Key Factors in Investment Decisions</w:t>
      </w:r>
    </w:p>
    <w:p w14:paraId="4AB16ABF" w14:textId="77777777" w:rsidR="00737203" w:rsidRDefault="00737203" w:rsidP="00737203"/>
    <w:p w14:paraId="13590292" w14:textId="77777777" w:rsidR="00737203" w:rsidRDefault="00737203" w:rsidP="00737203">
      <w:r>
        <w:t>-          Foreign Direct Investment (FDI) and its dynamics</w:t>
      </w:r>
    </w:p>
    <w:p w14:paraId="58C46511" w14:textId="77777777" w:rsidR="00737203" w:rsidRDefault="00737203" w:rsidP="00737203"/>
    <w:p w14:paraId="016628B4" w14:textId="77777777" w:rsidR="00737203" w:rsidRDefault="00737203" w:rsidP="00737203">
      <w:r>
        <w:t>-          Turkey’s competitive position in international investments</w:t>
      </w:r>
    </w:p>
    <w:p w14:paraId="4734279B" w14:textId="77777777" w:rsidR="00752263" w:rsidRDefault="00752263" w:rsidP="00972ED8"/>
    <w:p w14:paraId="36E03137" w14:textId="77777777" w:rsidR="00972ED8" w:rsidRDefault="00972ED8" w:rsidP="00972ED8">
      <w:pPr>
        <w:rPr>
          <w:b/>
        </w:rPr>
      </w:pPr>
      <w:r w:rsidRPr="00752263">
        <w:rPr>
          <w:b/>
        </w:rPr>
        <w:t xml:space="preserve">LESSON 5 </w:t>
      </w:r>
      <w:r w:rsidR="00D940F2">
        <w:rPr>
          <w:b/>
        </w:rPr>
        <w:t xml:space="preserve">– 4 June 2022 </w:t>
      </w:r>
    </w:p>
    <w:p w14:paraId="51CCC9FF" w14:textId="77777777" w:rsidR="00D940F2" w:rsidRPr="00752263" w:rsidRDefault="00D940F2" w:rsidP="00972ED8">
      <w:pPr>
        <w:rPr>
          <w:b/>
        </w:rPr>
      </w:pPr>
      <w:r>
        <w:rPr>
          <w:b/>
        </w:rPr>
        <w:t xml:space="preserve">09:00-11:45 </w:t>
      </w:r>
    </w:p>
    <w:p w14:paraId="386E0C43" w14:textId="77777777" w:rsidR="00737203" w:rsidRPr="00752263" w:rsidRDefault="00737203" w:rsidP="00972ED8">
      <w:pPr>
        <w:rPr>
          <w:b/>
        </w:rPr>
      </w:pPr>
    </w:p>
    <w:p w14:paraId="70D92AE6" w14:textId="77777777" w:rsidR="00737203" w:rsidRDefault="00972ED8" w:rsidP="00737203">
      <w:r>
        <w:t xml:space="preserve">-          </w:t>
      </w:r>
      <w:r w:rsidR="00737203">
        <w:t>Turkey’s Energy Sector Highlights</w:t>
      </w:r>
    </w:p>
    <w:p w14:paraId="564F9B1C" w14:textId="77777777" w:rsidR="00737203" w:rsidRDefault="00737203" w:rsidP="00737203"/>
    <w:p w14:paraId="46FE6E31" w14:textId="77777777" w:rsidR="00737203" w:rsidRDefault="00737203" w:rsidP="00737203">
      <w:r>
        <w:lastRenderedPageBreak/>
        <w:t>-          General take on Global Energy Investments</w:t>
      </w:r>
    </w:p>
    <w:p w14:paraId="29D632A8" w14:textId="77777777" w:rsidR="00737203" w:rsidRDefault="00737203" w:rsidP="00737203"/>
    <w:p w14:paraId="19621D3E" w14:textId="77777777" w:rsidR="00737203" w:rsidRDefault="00737203" w:rsidP="00737203">
      <w:r>
        <w:t>-          International Investments in Renewables - Wind</w:t>
      </w:r>
    </w:p>
    <w:p w14:paraId="64088E91" w14:textId="77777777" w:rsidR="00737203" w:rsidRDefault="00737203" w:rsidP="00737203"/>
    <w:p w14:paraId="37522F9C" w14:textId="77777777" w:rsidR="00737203" w:rsidRDefault="00737203" w:rsidP="00737203">
      <w:r>
        <w:t>-          Case Study – Five Forces Model of Wind Turbine Business (</w:t>
      </w:r>
      <w:r w:rsidR="00752263">
        <w:t>document to be shared</w:t>
      </w:r>
      <w:r>
        <w:t xml:space="preserve"> before class)</w:t>
      </w:r>
    </w:p>
    <w:p w14:paraId="66F952D4" w14:textId="77777777" w:rsidR="00737203" w:rsidRDefault="00737203" w:rsidP="00737203"/>
    <w:p w14:paraId="05EB8315" w14:textId="77777777" w:rsidR="00972ED8" w:rsidRDefault="00972ED8" w:rsidP="00737203"/>
    <w:p w14:paraId="37107DF8" w14:textId="77777777" w:rsidR="00972ED8" w:rsidRPr="00752263" w:rsidRDefault="00972ED8" w:rsidP="00972ED8">
      <w:pPr>
        <w:rPr>
          <w:b/>
        </w:rPr>
      </w:pPr>
      <w:r w:rsidRPr="00752263">
        <w:rPr>
          <w:b/>
        </w:rPr>
        <w:t xml:space="preserve">LESSON 6 </w:t>
      </w:r>
      <w:r w:rsidR="00D940F2">
        <w:rPr>
          <w:b/>
        </w:rPr>
        <w:t xml:space="preserve">– 10 June 2022 </w:t>
      </w:r>
    </w:p>
    <w:p w14:paraId="0EBD558F" w14:textId="77777777" w:rsidR="00737203" w:rsidRPr="00D940F2" w:rsidRDefault="00D940F2" w:rsidP="00972ED8">
      <w:pPr>
        <w:rPr>
          <w:b/>
        </w:rPr>
      </w:pPr>
      <w:r w:rsidRPr="00D940F2">
        <w:rPr>
          <w:b/>
        </w:rPr>
        <w:t xml:space="preserve">19:00-21:45 </w:t>
      </w:r>
    </w:p>
    <w:p w14:paraId="108806D9" w14:textId="77777777" w:rsidR="00D940F2" w:rsidRDefault="00D940F2" w:rsidP="00972ED8"/>
    <w:p w14:paraId="4D7B79A4" w14:textId="77777777" w:rsidR="00972ED8" w:rsidRDefault="00972ED8" w:rsidP="00972ED8">
      <w:r>
        <w:t>-          International Investments in Renewables – Solar</w:t>
      </w:r>
    </w:p>
    <w:p w14:paraId="14F65502" w14:textId="77777777" w:rsidR="00972ED8" w:rsidRDefault="00972ED8" w:rsidP="00972ED8"/>
    <w:p w14:paraId="4927EBB1" w14:textId="77777777" w:rsidR="00972ED8" w:rsidRDefault="00972ED8" w:rsidP="00972ED8">
      <w:r>
        <w:t>-          Case Study – What should REC Solar do? (</w:t>
      </w:r>
      <w:r w:rsidR="00752263">
        <w:t xml:space="preserve">document to be shared </w:t>
      </w:r>
      <w:r>
        <w:t>before class)</w:t>
      </w:r>
    </w:p>
    <w:p w14:paraId="1B89C776" w14:textId="77777777" w:rsidR="00972ED8" w:rsidRDefault="00972ED8" w:rsidP="00972ED8"/>
    <w:p w14:paraId="0FB5AB66" w14:textId="77777777" w:rsidR="00972ED8" w:rsidRDefault="00972ED8" w:rsidP="00972ED8">
      <w:pPr>
        <w:rPr>
          <w:b/>
        </w:rPr>
      </w:pPr>
      <w:r w:rsidRPr="00752263">
        <w:rPr>
          <w:b/>
        </w:rPr>
        <w:t xml:space="preserve">LESSON 7 </w:t>
      </w:r>
      <w:r w:rsidR="00D940F2">
        <w:rPr>
          <w:b/>
        </w:rPr>
        <w:t xml:space="preserve">– 11 June 2022 </w:t>
      </w:r>
    </w:p>
    <w:p w14:paraId="477D1E01" w14:textId="77777777" w:rsidR="00D940F2" w:rsidRPr="00752263" w:rsidRDefault="00D940F2" w:rsidP="00972ED8">
      <w:pPr>
        <w:rPr>
          <w:b/>
        </w:rPr>
      </w:pPr>
      <w:r>
        <w:rPr>
          <w:b/>
        </w:rPr>
        <w:t xml:space="preserve">09:00-11:45 </w:t>
      </w:r>
    </w:p>
    <w:p w14:paraId="25F4DDD0" w14:textId="77777777" w:rsidR="00737203" w:rsidRPr="00752263" w:rsidRDefault="00737203" w:rsidP="00972ED8">
      <w:pPr>
        <w:rPr>
          <w:b/>
        </w:rPr>
      </w:pPr>
    </w:p>
    <w:p w14:paraId="3DEE390C" w14:textId="77777777" w:rsidR="00972ED8" w:rsidRDefault="00972ED8" w:rsidP="00972ED8">
      <w:r>
        <w:t>-          International Investments in Renewables – Geothermal</w:t>
      </w:r>
    </w:p>
    <w:p w14:paraId="770F5BF2" w14:textId="77777777" w:rsidR="00972ED8" w:rsidRDefault="00972ED8" w:rsidP="00972ED8"/>
    <w:p w14:paraId="234743E8" w14:textId="77777777" w:rsidR="00972ED8" w:rsidRDefault="00972ED8" w:rsidP="00972ED8">
      <w:r>
        <w:t>-          International Investments in Renewables – Hydro</w:t>
      </w:r>
    </w:p>
    <w:p w14:paraId="0004F1D4" w14:textId="77777777" w:rsidR="00972ED8" w:rsidRDefault="00972ED8" w:rsidP="00972ED8"/>
    <w:p w14:paraId="58BDFD9F" w14:textId="547BF144" w:rsidR="00972ED8" w:rsidRDefault="00972ED8" w:rsidP="00972ED8">
      <w:r>
        <w:t xml:space="preserve">-          International Investments in Conventional Energy – </w:t>
      </w:r>
      <w:r w:rsidR="00304D3B">
        <w:t>Hydrogen</w:t>
      </w:r>
    </w:p>
    <w:p w14:paraId="0BB7B208" w14:textId="77777777" w:rsidR="00972ED8" w:rsidRDefault="00972ED8" w:rsidP="00972ED8"/>
    <w:p w14:paraId="21358226" w14:textId="77777777" w:rsidR="00735F66" w:rsidRDefault="00972ED8" w:rsidP="00972ED8">
      <w:r>
        <w:t>-          Case Study – Turkey’s Value Proposition in battery manufacturing (</w:t>
      </w:r>
      <w:r w:rsidR="00752263">
        <w:t>document to be</w:t>
      </w:r>
      <w:r>
        <w:t xml:space="preserve"> </w:t>
      </w:r>
      <w:r w:rsidR="00752263">
        <w:t xml:space="preserve">shared </w:t>
      </w:r>
      <w:r>
        <w:t>before class)</w:t>
      </w:r>
    </w:p>
    <w:p w14:paraId="1CCEA9D9" w14:textId="77777777" w:rsidR="00752263" w:rsidRDefault="00752263" w:rsidP="00972ED8"/>
    <w:p w14:paraId="3F56AC98" w14:textId="77777777" w:rsidR="00752263" w:rsidRDefault="00752263" w:rsidP="00972ED8"/>
    <w:p w14:paraId="7B2816FC" w14:textId="77777777" w:rsidR="00752263" w:rsidRDefault="00752263" w:rsidP="00972ED8"/>
    <w:p w14:paraId="4C06C499" w14:textId="77777777" w:rsidR="00752263" w:rsidRPr="00752263" w:rsidRDefault="00752263" w:rsidP="00752263">
      <w:pPr>
        <w:jc w:val="center"/>
        <w:rPr>
          <w:b/>
          <w:sz w:val="28"/>
        </w:rPr>
      </w:pPr>
      <w:r w:rsidRPr="00752263">
        <w:rPr>
          <w:b/>
          <w:sz w:val="28"/>
        </w:rPr>
        <w:t>GRADING POLICY</w:t>
      </w:r>
    </w:p>
    <w:p w14:paraId="3AB0EF95" w14:textId="77777777" w:rsidR="00752263" w:rsidRPr="00752263" w:rsidRDefault="00752263" w:rsidP="00752263">
      <w:pPr>
        <w:jc w:val="center"/>
        <w:rPr>
          <w:b/>
          <w:sz w:val="28"/>
        </w:rPr>
      </w:pPr>
    </w:p>
    <w:p w14:paraId="368755F2" w14:textId="46B7851D" w:rsidR="002F4AFF" w:rsidRPr="00233C56" w:rsidRDefault="00233C56" w:rsidP="00936C1F">
      <w:pPr>
        <w:pStyle w:val="ListParagraph"/>
        <w:numPr>
          <w:ilvl w:val="0"/>
          <w:numId w:val="42"/>
        </w:numPr>
        <w:spacing w:line="360" w:lineRule="auto"/>
      </w:pPr>
      <w:r w:rsidRPr="00233C56">
        <w:t>7 Quizzes, each having 10% weight</w:t>
      </w:r>
    </w:p>
    <w:p w14:paraId="097A833A" w14:textId="5A3527B4" w:rsidR="00233C56" w:rsidRPr="00233C56" w:rsidRDefault="00233C56" w:rsidP="00936C1F">
      <w:pPr>
        <w:pStyle w:val="ListParagraph"/>
        <w:numPr>
          <w:ilvl w:val="0"/>
          <w:numId w:val="42"/>
        </w:numPr>
        <w:spacing w:line="360" w:lineRule="auto"/>
      </w:pPr>
      <w:r w:rsidRPr="00233C56">
        <w:t>1 assignment, having 30% weight</w:t>
      </w:r>
    </w:p>
    <w:sectPr w:rsidR="00233C56" w:rsidRPr="00233C56" w:rsidSect="004B4170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3B6"/>
    <w:multiLevelType w:val="hybridMultilevel"/>
    <w:tmpl w:val="892CFC68"/>
    <w:lvl w:ilvl="0" w:tplc="01600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D5E"/>
    <w:multiLevelType w:val="hybridMultilevel"/>
    <w:tmpl w:val="D3E2258E"/>
    <w:lvl w:ilvl="0" w:tplc="C518C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7D4"/>
    <w:multiLevelType w:val="hybridMultilevel"/>
    <w:tmpl w:val="49DCCAAA"/>
    <w:lvl w:ilvl="0" w:tplc="35F09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989"/>
    <w:multiLevelType w:val="multilevel"/>
    <w:tmpl w:val="DF766B0A"/>
    <w:lvl w:ilvl="0">
      <w:start w:val="1"/>
      <w:numFmt w:val="decimal"/>
      <w:pStyle w:val="Heading1"/>
      <w:lvlText w:val="%1"/>
      <w:lvlJc w:val="left"/>
      <w:pPr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1E387DEA"/>
    <w:multiLevelType w:val="hybridMultilevel"/>
    <w:tmpl w:val="7E389BC4"/>
    <w:lvl w:ilvl="0" w:tplc="9ABC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2C8"/>
    <w:multiLevelType w:val="hybridMultilevel"/>
    <w:tmpl w:val="6C56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2D39"/>
    <w:multiLevelType w:val="hybridMultilevel"/>
    <w:tmpl w:val="64048B60"/>
    <w:lvl w:ilvl="0" w:tplc="DEF8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1D85"/>
    <w:multiLevelType w:val="hybridMultilevel"/>
    <w:tmpl w:val="08ECC328"/>
    <w:lvl w:ilvl="0" w:tplc="9D36B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BA1"/>
    <w:multiLevelType w:val="hybridMultilevel"/>
    <w:tmpl w:val="C78AAFA8"/>
    <w:lvl w:ilvl="0" w:tplc="F7F2C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753A"/>
    <w:multiLevelType w:val="hybridMultilevel"/>
    <w:tmpl w:val="11CA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0081E"/>
    <w:multiLevelType w:val="hybridMultilevel"/>
    <w:tmpl w:val="74240ADA"/>
    <w:lvl w:ilvl="0" w:tplc="9ABC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C2E42"/>
    <w:multiLevelType w:val="hybridMultilevel"/>
    <w:tmpl w:val="8E2EFAB2"/>
    <w:lvl w:ilvl="0" w:tplc="9ABC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76016"/>
    <w:multiLevelType w:val="hybridMultilevel"/>
    <w:tmpl w:val="E536D140"/>
    <w:lvl w:ilvl="0" w:tplc="9ABC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1D19"/>
    <w:multiLevelType w:val="hybridMultilevel"/>
    <w:tmpl w:val="D8D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3999"/>
    <w:multiLevelType w:val="hybridMultilevel"/>
    <w:tmpl w:val="58728A16"/>
    <w:lvl w:ilvl="0" w:tplc="83EC7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162EA"/>
    <w:multiLevelType w:val="hybridMultilevel"/>
    <w:tmpl w:val="1B7A7910"/>
    <w:lvl w:ilvl="0" w:tplc="9ABC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57595">
    <w:abstractNumId w:val="3"/>
  </w:num>
  <w:num w:numId="2" w16cid:durableId="885335106">
    <w:abstractNumId w:val="3"/>
  </w:num>
  <w:num w:numId="3" w16cid:durableId="1941838759">
    <w:abstractNumId w:val="3"/>
  </w:num>
  <w:num w:numId="4" w16cid:durableId="194084384">
    <w:abstractNumId w:val="3"/>
  </w:num>
  <w:num w:numId="5" w16cid:durableId="576207775">
    <w:abstractNumId w:val="3"/>
  </w:num>
  <w:num w:numId="6" w16cid:durableId="1664550277">
    <w:abstractNumId w:val="3"/>
  </w:num>
  <w:num w:numId="7" w16cid:durableId="1391806803">
    <w:abstractNumId w:val="3"/>
  </w:num>
  <w:num w:numId="8" w16cid:durableId="2037193129">
    <w:abstractNumId w:val="3"/>
  </w:num>
  <w:num w:numId="9" w16cid:durableId="1713457414">
    <w:abstractNumId w:val="3"/>
  </w:num>
  <w:num w:numId="10" w16cid:durableId="811946997">
    <w:abstractNumId w:val="3"/>
  </w:num>
  <w:num w:numId="11" w16cid:durableId="1528179128">
    <w:abstractNumId w:val="3"/>
  </w:num>
  <w:num w:numId="12" w16cid:durableId="1000043051">
    <w:abstractNumId w:val="3"/>
  </w:num>
  <w:num w:numId="13" w16cid:durableId="462163088">
    <w:abstractNumId w:val="3"/>
  </w:num>
  <w:num w:numId="14" w16cid:durableId="2093116852">
    <w:abstractNumId w:val="3"/>
  </w:num>
  <w:num w:numId="15" w16cid:durableId="659237541">
    <w:abstractNumId w:val="3"/>
  </w:num>
  <w:num w:numId="16" w16cid:durableId="1800995843">
    <w:abstractNumId w:val="3"/>
  </w:num>
  <w:num w:numId="17" w16cid:durableId="864637782">
    <w:abstractNumId w:val="3"/>
  </w:num>
  <w:num w:numId="18" w16cid:durableId="1359165098">
    <w:abstractNumId w:val="3"/>
  </w:num>
  <w:num w:numId="19" w16cid:durableId="2046296800">
    <w:abstractNumId w:val="3"/>
  </w:num>
  <w:num w:numId="20" w16cid:durableId="455023044">
    <w:abstractNumId w:val="3"/>
  </w:num>
  <w:num w:numId="21" w16cid:durableId="379669672">
    <w:abstractNumId w:val="3"/>
  </w:num>
  <w:num w:numId="22" w16cid:durableId="1677463088">
    <w:abstractNumId w:val="3"/>
  </w:num>
  <w:num w:numId="23" w16cid:durableId="625476198">
    <w:abstractNumId w:val="3"/>
  </w:num>
  <w:num w:numId="24" w16cid:durableId="1218860109">
    <w:abstractNumId w:val="3"/>
  </w:num>
  <w:num w:numId="25" w16cid:durableId="419838109">
    <w:abstractNumId w:val="3"/>
  </w:num>
  <w:num w:numId="26" w16cid:durableId="998730742">
    <w:abstractNumId w:val="3"/>
  </w:num>
  <w:num w:numId="27" w16cid:durableId="2110662302">
    <w:abstractNumId w:val="3"/>
  </w:num>
  <w:num w:numId="28" w16cid:durableId="1919443197">
    <w:abstractNumId w:val="0"/>
  </w:num>
  <w:num w:numId="29" w16cid:durableId="721442823">
    <w:abstractNumId w:val="1"/>
  </w:num>
  <w:num w:numId="30" w16cid:durableId="745146479">
    <w:abstractNumId w:val="2"/>
  </w:num>
  <w:num w:numId="31" w16cid:durableId="1670525070">
    <w:abstractNumId w:val="14"/>
  </w:num>
  <w:num w:numId="32" w16cid:durableId="1713536665">
    <w:abstractNumId w:val="6"/>
  </w:num>
  <w:num w:numId="33" w16cid:durableId="1402560244">
    <w:abstractNumId w:val="8"/>
  </w:num>
  <w:num w:numId="34" w16cid:durableId="721951198">
    <w:abstractNumId w:val="7"/>
  </w:num>
  <w:num w:numId="35" w16cid:durableId="160780922">
    <w:abstractNumId w:val="15"/>
  </w:num>
  <w:num w:numId="36" w16cid:durableId="1879002137">
    <w:abstractNumId w:val="4"/>
  </w:num>
  <w:num w:numId="37" w16cid:durableId="2045405097">
    <w:abstractNumId w:val="12"/>
  </w:num>
  <w:num w:numId="38" w16cid:durableId="1377510243">
    <w:abstractNumId w:val="11"/>
  </w:num>
  <w:num w:numId="39" w16cid:durableId="426197580">
    <w:abstractNumId w:val="10"/>
  </w:num>
  <w:num w:numId="40" w16cid:durableId="206911535">
    <w:abstractNumId w:val="9"/>
  </w:num>
  <w:num w:numId="41" w16cid:durableId="1033850562">
    <w:abstractNumId w:val="5"/>
  </w:num>
  <w:num w:numId="42" w16cid:durableId="370154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D8"/>
    <w:rsid w:val="00023015"/>
    <w:rsid w:val="000958EA"/>
    <w:rsid w:val="000D5F01"/>
    <w:rsid w:val="00125CF1"/>
    <w:rsid w:val="001F19F9"/>
    <w:rsid w:val="00233C56"/>
    <w:rsid w:val="002F4AFF"/>
    <w:rsid w:val="00304D3B"/>
    <w:rsid w:val="003200CE"/>
    <w:rsid w:val="00382359"/>
    <w:rsid w:val="003A79C0"/>
    <w:rsid w:val="003D3790"/>
    <w:rsid w:val="003D6C91"/>
    <w:rsid w:val="00401155"/>
    <w:rsid w:val="00471584"/>
    <w:rsid w:val="004B1003"/>
    <w:rsid w:val="004B4170"/>
    <w:rsid w:val="00584D65"/>
    <w:rsid w:val="00585489"/>
    <w:rsid w:val="0062623C"/>
    <w:rsid w:val="006C372B"/>
    <w:rsid w:val="00735F66"/>
    <w:rsid w:val="00737203"/>
    <w:rsid w:val="00752263"/>
    <w:rsid w:val="008244A6"/>
    <w:rsid w:val="00843718"/>
    <w:rsid w:val="00844942"/>
    <w:rsid w:val="00891ECD"/>
    <w:rsid w:val="008E2ED4"/>
    <w:rsid w:val="00936C1F"/>
    <w:rsid w:val="009638DA"/>
    <w:rsid w:val="00972ED8"/>
    <w:rsid w:val="00B51DA7"/>
    <w:rsid w:val="00B77A4C"/>
    <w:rsid w:val="00B9230A"/>
    <w:rsid w:val="00D60C71"/>
    <w:rsid w:val="00D703F3"/>
    <w:rsid w:val="00D940F2"/>
    <w:rsid w:val="00F650A5"/>
    <w:rsid w:val="00F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1991"/>
  <w15:chartTrackingRefBased/>
  <w15:docId w15:val="{523D7C63-FFC3-4AAE-A344-E605FC3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03"/>
  </w:style>
  <w:style w:type="paragraph" w:styleId="Heading1">
    <w:name w:val="heading 1"/>
    <w:basedOn w:val="Normal"/>
    <w:next w:val="Normal"/>
    <w:link w:val="Heading1Char"/>
    <w:uiPriority w:val="9"/>
    <w:qFormat/>
    <w:rsid w:val="004B1003"/>
    <w:pPr>
      <w:keepNext/>
      <w:keepLines/>
      <w:numPr>
        <w:numId w:val="27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003"/>
    <w:pPr>
      <w:keepNext/>
      <w:keepLines/>
      <w:numPr>
        <w:ilvl w:val="1"/>
        <w:numId w:val="27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003"/>
    <w:pPr>
      <w:keepNext/>
      <w:keepLines/>
      <w:numPr>
        <w:ilvl w:val="2"/>
        <w:numId w:val="27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003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003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003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003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003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003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3"/>
    <w:rPr>
      <w:rFonts w:ascii="Segoe UI" w:hAnsi="Segoe UI" w:cs="Segoe UI"/>
      <w:sz w:val="24"/>
      <w:szCs w:val="18"/>
      <w:lang w:val="tr-TR"/>
    </w:rPr>
  </w:style>
  <w:style w:type="character" w:customStyle="1" w:styleId="apple-converted-space">
    <w:name w:val="apple-converted-space"/>
    <w:basedOn w:val="DefaultParagraphFont"/>
    <w:rsid w:val="00843718"/>
  </w:style>
  <w:style w:type="character" w:customStyle="1" w:styleId="Heading1Char">
    <w:name w:val="Heading 1 Char"/>
    <w:basedOn w:val="DefaultParagraphFont"/>
    <w:link w:val="Heading1"/>
    <w:uiPriority w:val="9"/>
    <w:rsid w:val="004B1003"/>
    <w:rPr>
      <w:rFonts w:asciiTheme="majorHAnsi" w:eastAsiaTheme="majorEastAsia" w:hAnsiTheme="majorHAnsi" w:cstheme="majorBidi"/>
      <w:color w:val="000000" w:themeColor="text1"/>
      <w:sz w:val="32"/>
      <w:szCs w:val="32"/>
      <w:lang w:val="tr-T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10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10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10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10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10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10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10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10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1003"/>
    <w:pPr>
      <w:spacing w:after="100"/>
      <w:ind w:left="19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03"/>
    <w:rPr>
      <w:rFonts w:ascii="Times New Roman" w:hAnsi="Times New Roman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4B1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3"/>
    <w:rPr>
      <w:rFonts w:ascii="Times New Roman" w:hAnsi="Times New Roman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4B1003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B1003"/>
  </w:style>
  <w:style w:type="character" w:styleId="Strong">
    <w:name w:val="Strong"/>
    <w:uiPriority w:val="22"/>
    <w:qFormat/>
    <w:rsid w:val="004B100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03"/>
    <w:rPr>
      <w:rFonts w:ascii="Times New Roman" w:hAnsi="Times New Roman"/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B1003"/>
    <w:rPr>
      <w:rFonts w:ascii="Times New Roman" w:eastAsia="Calibri" w:hAnsi="Times New Roman"/>
      <w:lang w:val="tr-TR"/>
    </w:rPr>
  </w:style>
  <w:style w:type="paragraph" w:styleId="ListParagraph">
    <w:name w:val="List Paragraph"/>
    <w:basedOn w:val="Normal"/>
    <w:uiPriority w:val="34"/>
    <w:qFormat/>
    <w:rsid w:val="004B100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003"/>
    <w:pPr>
      <w:numPr>
        <w:numId w:val="0"/>
      </w:numPr>
      <w:outlineLvl w:val="9"/>
    </w:pPr>
    <w:rPr>
      <w:color w:val="2E74B5" w:themeColor="accent1" w:themeShade="BF"/>
    </w:rPr>
  </w:style>
  <w:style w:type="paragraph" w:customStyle="1" w:styleId="baloon">
    <w:name w:val="baloon"/>
    <w:basedOn w:val="CommentText"/>
    <w:qFormat/>
    <w:rsid w:val="000D5F01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B100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003"/>
    <w:rPr>
      <w:rFonts w:asciiTheme="majorHAnsi" w:eastAsiaTheme="majorEastAsia" w:hAnsiTheme="majorHAnsi" w:cstheme="majorBidi"/>
      <w:color w:val="000000" w:themeColor="text1"/>
      <w:sz w:val="24"/>
      <w:szCs w:val="24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0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00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0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0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0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tr-TR"/>
    </w:rPr>
  </w:style>
  <w:style w:type="paragraph" w:styleId="Header">
    <w:name w:val="header"/>
    <w:basedOn w:val="Normal"/>
    <w:link w:val="HeaderChar"/>
    <w:uiPriority w:val="99"/>
    <w:semiHidden/>
    <w:unhideWhenUsed/>
    <w:rsid w:val="004B100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1003"/>
    <w:rPr>
      <w:rFonts w:ascii="Times New Roman" w:eastAsia="Times New Roman" w:hAnsi="Times New Roman"/>
      <w:sz w:val="24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B10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1003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4B1003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cec.sabanciuniv.edu/sites/iicec.sabanciuniv.edu/files/inline-files/4-teo_executive_summary-unprotected_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cec.sabanciuniv.edu/sites/iicec.sabanciuniv.edu/files/inline-files/4-teo_executive_summary-unprotected_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a.org/data-and-statistics/data-tables/?country=WORLD&amp;energy=Balan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ea.org/commentaries/understanding-and-using-the-energy-balance" TargetMode="External"/><Relationship Id="rId10" Type="http://schemas.openxmlformats.org/officeDocument/2006/relationships/hyperlink" Target="https://www.iea.org/reports/renewable-energy-market-update-may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a.blob.core.windows.net/assets/84c1a929-670a-4321-b7fd-a681f60ebe8e/NZE2050_launch_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Kaya</dc:creator>
  <cp:keywords/>
  <dc:description/>
  <cp:lastModifiedBy>Murat Kaya</cp:lastModifiedBy>
  <cp:revision>7</cp:revision>
  <dcterms:created xsi:type="dcterms:W3CDTF">2022-05-13T11:37:00Z</dcterms:created>
  <dcterms:modified xsi:type="dcterms:W3CDTF">2022-05-14T06:07:00Z</dcterms:modified>
</cp:coreProperties>
</file>